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AB2" w14:textId="23635DC8" w:rsidR="00303CAB" w:rsidRPr="00442B8F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442B8F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442B8F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3A2F6D44" w14:textId="77777777" w:rsidR="00982ADD" w:rsidRDefault="00982ADD" w:rsidP="0024358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982ADD">
        <w:rPr>
          <w:rFonts w:ascii="Calibri" w:hAnsi="Calibri" w:cs="Calibri"/>
          <w:b/>
          <w:bCs/>
          <w:sz w:val="32"/>
          <w:szCs w:val="32"/>
        </w:rPr>
        <w:t>Ochrona biznesu przed cyberatakami dzięki ubezpieczeniu ryzyka cybernetycznego i prywatności</w:t>
      </w:r>
    </w:p>
    <w:p w14:paraId="557AF2C3" w14:textId="77777777" w:rsidR="00982ADD" w:rsidRDefault="00982ADD" w:rsidP="00E53D4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82ADD">
        <w:rPr>
          <w:rFonts w:ascii="Calibri" w:hAnsi="Calibri" w:cs="Calibri"/>
          <w:b/>
          <w:bCs/>
          <w:sz w:val="24"/>
          <w:szCs w:val="24"/>
        </w:rPr>
        <w:t xml:space="preserve">W szybko zmieniającym się cyfrowym środowisku liczba zagrożeń cybernetycznych i wycieków danych bardzo wzrosła. Według danych </w:t>
      </w:r>
      <w:proofErr w:type="spellStart"/>
      <w:r w:rsidRPr="00982ADD">
        <w:rPr>
          <w:rFonts w:ascii="Calibri" w:hAnsi="Calibri" w:cs="Calibri"/>
          <w:b/>
          <w:bCs/>
          <w:sz w:val="24"/>
          <w:szCs w:val="24"/>
        </w:rPr>
        <w:t>Cybersecurity</w:t>
      </w:r>
      <w:proofErr w:type="spellEnd"/>
      <w:r w:rsidRPr="00982AD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82ADD">
        <w:rPr>
          <w:rFonts w:ascii="Calibri" w:hAnsi="Calibri" w:cs="Calibri"/>
          <w:b/>
          <w:bCs/>
          <w:sz w:val="24"/>
          <w:szCs w:val="24"/>
        </w:rPr>
        <w:t>Ventures</w:t>
      </w:r>
      <w:proofErr w:type="spellEnd"/>
      <w:r w:rsidRPr="00982ADD">
        <w:rPr>
          <w:rFonts w:ascii="Calibri" w:hAnsi="Calibri" w:cs="Calibri"/>
          <w:b/>
          <w:bCs/>
          <w:sz w:val="24"/>
          <w:szCs w:val="24"/>
        </w:rPr>
        <w:t>, koszty związane z cyberprzestępczością mają do 2025 roku wzrosnąć do 10,5 biliona dolarów rocznie.</w:t>
      </w:r>
    </w:p>
    <w:p w14:paraId="43F36743" w14:textId="1470D835" w:rsidR="00982ADD" w:rsidRPr="002945F5" w:rsidRDefault="00982ADD" w:rsidP="00982ADD">
      <w:pPr>
        <w:jc w:val="both"/>
      </w:pPr>
      <w:r w:rsidRPr="004445DA">
        <w:t>W miarę jak</w:t>
      </w:r>
      <w:r>
        <w:t xml:space="preserve"> rośnie</w:t>
      </w:r>
      <w:r w:rsidRPr="004445DA">
        <w:t xml:space="preserve"> częstotliwość i złożoność tych ataków, </w:t>
      </w:r>
      <w:r>
        <w:t xml:space="preserve">sama </w:t>
      </w:r>
      <w:r w:rsidRPr="004445DA">
        <w:t xml:space="preserve">świadomość strategii zapobiegawczych </w:t>
      </w:r>
      <w:r>
        <w:t>przestała być już</w:t>
      </w:r>
      <w:r w:rsidRPr="004445DA">
        <w:t xml:space="preserve"> wystarczająca. Konieczne stały się działania proaktywne, mające na celu zapewnienie bezpieczeństwa zarówno </w:t>
      </w:r>
      <w:r>
        <w:t>osobom prywatnym</w:t>
      </w:r>
      <w:r w:rsidRPr="004445DA">
        <w:t xml:space="preserve">, jak i firmom. Nawet przy </w:t>
      </w:r>
      <w:r>
        <w:t xml:space="preserve">odpowiednim </w:t>
      </w:r>
      <w:r w:rsidRPr="004445DA">
        <w:t xml:space="preserve">przygotowaniu i </w:t>
      </w:r>
      <w:r>
        <w:t>zachowaniu</w:t>
      </w:r>
      <w:r w:rsidRPr="004445DA">
        <w:t xml:space="preserve"> czujności, nieprzewidywalny charakter zagrożeń cybernetycznych może prowadzić do znaczących strat, które dotykają nas wszystkich. Wzrastające nieustannie ryzyko związane z cyberprzestępczością i ochroną prywatności spowodowało konieczność stworzenia rozwiązania wspiera</w:t>
      </w:r>
      <w:r>
        <w:t>jącego</w:t>
      </w:r>
      <w:r w:rsidRPr="004445DA">
        <w:t xml:space="preserve"> przedsiębiorstw</w:t>
      </w:r>
      <w:r>
        <w:t>o</w:t>
      </w:r>
      <w:r w:rsidRPr="004445DA">
        <w:t xml:space="preserve"> w przypadku ataku cybernetycznego: ubezpieczeni</w:t>
      </w:r>
      <w:r>
        <w:t>a</w:t>
      </w:r>
      <w:r w:rsidRPr="004445DA">
        <w:t xml:space="preserve"> </w:t>
      </w:r>
      <w:proofErr w:type="spellStart"/>
      <w:r w:rsidRPr="004445DA">
        <w:t>ryzyk</w:t>
      </w:r>
      <w:proofErr w:type="spellEnd"/>
      <w:r w:rsidRPr="004445DA">
        <w:t xml:space="preserve"> cybernetyczn</w:t>
      </w:r>
      <w:r>
        <w:t xml:space="preserve">ych </w:t>
      </w:r>
      <w:r w:rsidRPr="004445DA">
        <w:t>i prywatnoś</w:t>
      </w:r>
      <w:r>
        <w:t>ci</w:t>
      </w:r>
      <w:r w:rsidRPr="004445DA">
        <w:t>.</w:t>
      </w:r>
    </w:p>
    <w:p w14:paraId="3FF8B726" w14:textId="495D1EBB" w:rsidR="00982ADD" w:rsidRPr="002428D3" w:rsidRDefault="00982ADD" w:rsidP="00982ADD">
      <w:pPr>
        <w:jc w:val="both"/>
      </w:pPr>
      <w:r w:rsidRPr="002945F5">
        <w:rPr>
          <w:i/>
        </w:rPr>
        <w:t xml:space="preserve">Colonnade oferuje </w:t>
      </w:r>
      <w:r>
        <w:rPr>
          <w:i/>
        </w:rPr>
        <w:t>przyszłościowe</w:t>
      </w:r>
      <w:r w:rsidRPr="002945F5">
        <w:rPr>
          <w:i/>
        </w:rPr>
        <w:t xml:space="preserve"> rozwiązanie ubezpieczeniowe dostosowane do zagrożeń wynikających z wycieków danych i naruszeń. </w:t>
      </w:r>
      <w:r>
        <w:rPr>
          <w:i/>
        </w:rPr>
        <w:t xml:space="preserve">W oferowanych pakietach klienci otrzymają </w:t>
      </w:r>
      <w:r w:rsidRPr="00D70BDE">
        <w:rPr>
          <w:i/>
        </w:rPr>
        <w:t xml:space="preserve">nie tylko ochronę ubezpieczeniową, ale także kompleksowy zestaw </w:t>
      </w:r>
      <w:r>
        <w:rPr>
          <w:i/>
        </w:rPr>
        <w:t>specjalistycznych</w:t>
      </w:r>
      <w:r w:rsidRPr="00933BE8">
        <w:rPr>
          <w:i/>
        </w:rPr>
        <w:t xml:space="preserve"> usług. Te zasoby są dostępne, gdy kryzys uderza niespodziewanie, stanowiąc pomoc w nawigowaniu przez </w:t>
      </w:r>
      <w:r w:rsidRPr="002757A5">
        <w:rPr>
          <w:i/>
        </w:rPr>
        <w:t>zawiłości</w:t>
      </w:r>
      <w:r w:rsidRPr="002428D3">
        <w:rPr>
          <w:i/>
        </w:rPr>
        <w:t xml:space="preserve"> wyzwań związanych z cyberprzestępczością. Nasi klienci korzystają z wiedzy doświadczonych profesjonalistów od ochrony danych, specjalistów od bezpieczeństwa IT i ekspertów prawnych specjalizujących się w ochron</w:t>
      </w:r>
      <w:r>
        <w:rPr>
          <w:i/>
        </w:rPr>
        <w:t>ie</w:t>
      </w:r>
      <w:r w:rsidRPr="002428D3">
        <w:rPr>
          <w:i/>
        </w:rPr>
        <w:t xml:space="preserve"> danych</w:t>
      </w:r>
      <w:r w:rsidRPr="009762AB">
        <w:t xml:space="preserve"> - zaznaczył Juliusz Ma</w:t>
      </w:r>
      <w:r>
        <w:t>ł</w:t>
      </w:r>
      <w:r w:rsidRPr="009762AB">
        <w:t xml:space="preserve">yszko, Lider Praktyki </w:t>
      </w:r>
      <w:proofErr w:type="spellStart"/>
      <w:r w:rsidRPr="009762AB">
        <w:t>Cyber</w:t>
      </w:r>
      <w:proofErr w:type="spellEnd"/>
      <w:r w:rsidRPr="009762AB">
        <w:t xml:space="preserve">. </w:t>
      </w:r>
    </w:p>
    <w:p w14:paraId="1300C3F6" w14:textId="43316AB8" w:rsidR="00982ADD" w:rsidRPr="002428D3" w:rsidRDefault="00982ADD" w:rsidP="00982ADD">
      <w:pPr>
        <w:jc w:val="both"/>
        <w:rPr>
          <w:b/>
          <w:bCs/>
        </w:rPr>
      </w:pPr>
      <w:r w:rsidRPr="00F20106">
        <w:rPr>
          <w:b/>
          <w:bCs/>
        </w:rPr>
        <w:t xml:space="preserve">Rozumienie </w:t>
      </w:r>
      <w:proofErr w:type="spellStart"/>
      <w:r w:rsidRPr="00F20106">
        <w:rPr>
          <w:b/>
          <w:bCs/>
        </w:rPr>
        <w:t>ryzyk</w:t>
      </w:r>
      <w:proofErr w:type="spellEnd"/>
      <w:r w:rsidRPr="00F20106">
        <w:rPr>
          <w:b/>
          <w:bCs/>
        </w:rPr>
        <w:t xml:space="preserve"> związanych z cyberprzestępczością i prywatnością</w:t>
      </w:r>
    </w:p>
    <w:p w14:paraId="5377349A" w14:textId="59D7DD99" w:rsidR="00982ADD" w:rsidRPr="002428D3" w:rsidRDefault="00982ADD" w:rsidP="00982ADD">
      <w:pPr>
        <w:jc w:val="both"/>
      </w:pPr>
      <w:r w:rsidRPr="00F20106">
        <w:t xml:space="preserve">W erze, w której </w:t>
      </w:r>
      <w:r>
        <w:t>dane</w:t>
      </w:r>
      <w:r w:rsidRPr="00F20106">
        <w:t xml:space="preserve"> stały się życiodajną siłą organizacji, ryzyka związane z prywatnością wplątały się w struktury codziennych operacji. Każde przedsiębiorstwo, niezależnie od swojej wielkości, boryka się z zawsze obecnym wyzwaniem związanym z przetwarzaniem danych elektronicznych przechowywanych na komputerach, serwerach lub w szerokich przestrzeniach Internetu. Dane, zarówno te poufne, jak i osobiste, przechodzą przez wirtualne kanały, podczas gdy procesy digitalizacji i archiwizacji dokumentów fizycznych wymagają wzmożonej czujności.</w:t>
      </w:r>
    </w:p>
    <w:p w14:paraId="223F5F3F" w14:textId="6C52E53E" w:rsidR="00982ADD" w:rsidRPr="00A714DF" w:rsidRDefault="00982ADD" w:rsidP="00982ADD">
      <w:pPr>
        <w:jc w:val="both"/>
      </w:pPr>
      <w:r w:rsidRPr="0040652A">
        <w:t xml:space="preserve">Proces zarządzania danymi, czy </w:t>
      </w:r>
      <w:r>
        <w:t>poprzez</w:t>
      </w:r>
      <w:r w:rsidRPr="0040652A">
        <w:t xml:space="preserve"> tradycyjne systemy oparte na papierze, czy</w:t>
      </w:r>
      <w:r>
        <w:t xml:space="preserve"> te </w:t>
      </w:r>
      <w:r w:rsidRPr="0040652A">
        <w:t xml:space="preserve">nowoczesne oparte na chmurze, niesie w sobie ryzyko ochrony danych. Firmy stają się podatne na zakłócające ataki, takie jak </w:t>
      </w:r>
      <w:r>
        <w:t>blokada usług</w:t>
      </w:r>
      <w:r w:rsidRPr="0040652A">
        <w:t xml:space="preserve"> (</w:t>
      </w:r>
      <w:proofErr w:type="spellStart"/>
      <w:r w:rsidRPr="0040652A">
        <w:t>DoS</w:t>
      </w:r>
      <w:proofErr w:type="spellEnd"/>
      <w:r w:rsidRPr="0040652A">
        <w:t xml:space="preserve">, </w:t>
      </w:r>
      <w:proofErr w:type="spellStart"/>
      <w:r w:rsidRPr="0040652A">
        <w:t>DDoS</w:t>
      </w:r>
      <w:proofErr w:type="spellEnd"/>
      <w:r w:rsidRPr="0040652A">
        <w:t xml:space="preserve">) lub </w:t>
      </w:r>
      <w:r>
        <w:t>wtargnięcia</w:t>
      </w:r>
      <w:r w:rsidRPr="0040652A">
        <w:t xml:space="preserve"> oparte na sieci, które zagrażają </w:t>
      </w:r>
      <w:r>
        <w:t>działalności operacyjnej</w:t>
      </w:r>
      <w:r w:rsidRPr="0040652A">
        <w:t xml:space="preserve">. W rosnącej przestrzeni cyfrowej ryzyka związane z urządzeniami mobilnymi, systemami IT i przestrzenią wirtualną stają się coraz bardziej </w:t>
      </w:r>
      <w:r>
        <w:t>złożone</w:t>
      </w:r>
      <w:r w:rsidRPr="0040652A">
        <w:t>. Współczesne przedsiębiorstwa priorytetowo traktują zabezpieczanie systemów komputerowych, sieci oraz bezcennych danych, które przechowują, odzwierciedlając przełomową zmianę od ochrony aktywów materialnych do zabezpieczania obszarów cyfrowych.</w:t>
      </w:r>
    </w:p>
    <w:p w14:paraId="4AFA9A18" w14:textId="48F4A460" w:rsidR="00982ADD" w:rsidRPr="00017FF0" w:rsidRDefault="00982ADD" w:rsidP="00982ADD">
      <w:pPr>
        <w:jc w:val="both"/>
        <w:rPr>
          <w:b/>
          <w:bCs/>
        </w:rPr>
      </w:pPr>
      <w:r>
        <w:rPr>
          <w:b/>
          <w:bCs/>
        </w:rPr>
        <w:t>Potencjalne czynniki ryzyka</w:t>
      </w:r>
    </w:p>
    <w:p w14:paraId="0AF65A5F" w14:textId="77777777" w:rsidR="00982ADD" w:rsidRPr="00017FF0" w:rsidRDefault="00982ADD" w:rsidP="00982ADD">
      <w:pPr>
        <w:jc w:val="both"/>
      </w:pPr>
      <w:r w:rsidRPr="00017FF0">
        <w:t xml:space="preserve">• Czynnik ludzki: błędy i </w:t>
      </w:r>
      <w:r>
        <w:t>zaniedbania</w:t>
      </w:r>
      <w:r w:rsidRPr="00017FF0">
        <w:t xml:space="preserve"> wynikające z </w:t>
      </w:r>
      <w:r>
        <w:t>podejmowanych działań</w:t>
      </w:r>
    </w:p>
    <w:p w14:paraId="27F5A536" w14:textId="77777777" w:rsidR="00982ADD" w:rsidRPr="00017FF0" w:rsidRDefault="00982ADD" w:rsidP="00982ADD">
      <w:pPr>
        <w:jc w:val="both"/>
      </w:pPr>
      <w:r w:rsidRPr="00017FF0">
        <w:lastRenderedPageBreak/>
        <w:t>• Słab</w:t>
      </w:r>
      <w:r>
        <w:t>e punkty w organizacji</w:t>
      </w:r>
      <w:r w:rsidRPr="00017FF0">
        <w:t xml:space="preserve">: </w:t>
      </w:r>
      <w:r>
        <w:t>niedoskonałe procesy</w:t>
      </w:r>
      <w:r w:rsidRPr="00017FF0">
        <w:t xml:space="preserve"> i </w:t>
      </w:r>
      <w:r>
        <w:t>luki w strukturach firmy</w:t>
      </w:r>
    </w:p>
    <w:p w14:paraId="15CFD306" w14:textId="77777777" w:rsidR="00982ADD" w:rsidRPr="00017FF0" w:rsidRDefault="00982ADD" w:rsidP="00982ADD">
      <w:pPr>
        <w:jc w:val="both"/>
      </w:pPr>
      <w:r w:rsidRPr="00017FF0">
        <w:t>• Ryzyka związane z bezpieczeństwem informacji: wyzwania wynikające z zarządzania poufnymi informacjami</w:t>
      </w:r>
    </w:p>
    <w:p w14:paraId="60DF4ED1" w14:textId="77777777" w:rsidR="00982ADD" w:rsidRPr="00017FF0" w:rsidRDefault="00982ADD" w:rsidP="00982ADD">
      <w:pPr>
        <w:jc w:val="both"/>
      </w:pPr>
      <w:r w:rsidRPr="00017FF0">
        <w:t xml:space="preserve">• Celowe </w:t>
      </w:r>
      <w:r>
        <w:t>ataki</w:t>
      </w:r>
      <w:r w:rsidRPr="00017FF0">
        <w:t>: intencjonalne działania hakerów wprowadzające znaczące ryzyko</w:t>
      </w:r>
    </w:p>
    <w:p w14:paraId="3EDBF55B" w14:textId="11D58FA7" w:rsidR="00982ADD" w:rsidRPr="00A714DF" w:rsidRDefault="00982ADD" w:rsidP="00982ADD">
      <w:pPr>
        <w:jc w:val="both"/>
      </w:pPr>
      <w:r w:rsidRPr="00017FF0">
        <w:t xml:space="preserve">• </w:t>
      </w:r>
      <w:r>
        <w:t>Luki</w:t>
      </w:r>
      <w:r w:rsidRPr="00017FF0">
        <w:t xml:space="preserve"> związane z outsourcingiem: powierzenie zarządzania danymi podmiotom zewnętrznym </w:t>
      </w:r>
    </w:p>
    <w:p w14:paraId="69C269A2" w14:textId="04F87189" w:rsidR="00982ADD" w:rsidRDefault="00982ADD" w:rsidP="00982ADD">
      <w:pPr>
        <w:jc w:val="both"/>
      </w:pPr>
      <w:r w:rsidRPr="00017FF0">
        <w:t>Jak pokazuj</w:t>
      </w:r>
      <w:r>
        <w:t>ą przykłady z działalności Colonnade</w:t>
      </w:r>
      <w:r w:rsidRPr="00017FF0">
        <w:t>, łatwo o popełnienie błędu</w:t>
      </w:r>
      <w:r>
        <w:t xml:space="preserve">. </w:t>
      </w:r>
    </w:p>
    <w:p w14:paraId="625B563F" w14:textId="77777777" w:rsidR="00982ADD" w:rsidRPr="00126996" w:rsidRDefault="00982ADD" w:rsidP="00982ADD">
      <w:pPr>
        <w:jc w:val="both"/>
        <w:rPr>
          <w:b/>
          <w:bCs/>
        </w:rPr>
      </w:pPr>
      <w:r w:rsidRPr="00126996">
        <w:rPr>
          <w:b/>
          <w:bCs/>
        </w:rPr>
        <w:t>Przykład 1</w:t>
      </w:r>
    </w:p>
    <w:p w14:paraId="6508AC64" w14:textId="77777777" w:rsidR="00982ADD" w:rsidRDefault="00982ADD" w:rsidP="00982ADD">
      <w:pPr>
        <w:jc w:val="both"/>
      </w:pPr>
      <w:r w:rsidRPr="00017FF0">
        <w:t xml:space="preserve">Wielkość ubezpieczonej firmy: mała </w:t>
      </w:r>
    </w:p>
    <w:p w14:paraId="18CA5BB0" w14:textId="77777777" w:rsidR="00982ADD" w:rsidRDefault="00982ADD" w:rsidP="00982ADD">
      <w:pPr>
        <w:jc w:val="both"/>
      </w:pPr>
      <w:r w:rsidRPr="00017FF0">
        <w:t xml:space="preserve">Działalność gospodarcza ubezpieczonej firmy: produkcja portfeli </w:t>
      </w:r>
    </w:p>
    <w:p w14:paraId="262C1CDF" w14:textId="77777777" w:rsidR="00982ADD" w:rsidRPr="00017FF0" w:rsidRDefault="00982ADD" w:rsidP="00982ADD">
      <w:pPr>
        <w:jc w:val="both"/>
      </w:pPr>
      <w:r w:rsidRPr="00017FF0">
        <w:t>Typ ataku: błąd pracownika</w:t>
      </w:r>
    </w:p>
    <w:p w14:paraId="055C57C1" w14:textId="77777777" w:rsidR="00982ADD" w:rsidRPr="00982ADD" w:rsidRDefault="00982ADD" w:rsidP="00982ADD">
      <w:pPr>
        <w:jc w:val="both"/>
      </w:pPr>
      <w:r w:rsidRPr="00017FF0">
        <w:t xml:space="preserve">Opis: </w:t>
      </w:r>
      <w:r>
        <w:t>P</w:t>
      </w:r>
      <w:r w:rsidRPr="00017FF0">
        <w:t xml:space="preserve">omyłka pracownika doprowadziła do poważnego wycieku danych ubezpieczonego. W niefortunnym zdarzeniu pracownik pomyłkowo wysłał e-mail do niezamierzonego odbiorcy z załącznikiem bazy danych zawierającej poufne dane klientów. Chociaż odbiorca natychmiast usunął e-mail, ubezpieczony był zobowiązany poinformować swoich klientów o incydencie </w:t>
      </w:r>
      <w:r>
        <w:t>w ramach</w:t>
      </w:r>
      <w:r w:rsidRPr="00017FF0">
        <w:t xml:space="preserve"> środk</w:t>
      </w:r>
      <w:r>
        <w:t>ów</w:t>
      </w:r>
      <w:r w:rsidRPr="00017FF0">
        <w:t xml:space="preserve"> </w:t>
      </w:r>
      <w:r w:rsidRPr="00982ADD">
        <w:t>ostrożności.</w:t>
      </w:r>
    </w:p>
    <w:p w14:paraId="713B88AA" w14:textId="78C1E633" w:rsidR="00982ADD" w:rsidRPr="00982ADD" w:rsidRDefault="00982ADD" w:rsidP="00982ADD">
      <w:pPr>
        <w:jc w:val="both"/>
      </w:pPr>
      <w:r w:rsidRPr="00982ADD">
        <w:t>Skutki finansowe wyniosły od 2 600 do 13 000 euro. Ubezpieczenie ryzyka cybernetycznego pokryło koszty powiadomienia klientów, przy czym udział własny to jedyny koszt poniesiony przez  ubezpieczonego.</w:t>
      </w:r>
    </w:p>
    <w:p w14:paraId="13F6CBEF" w14:textId="77777777" w:rsidR="00982ADD" w:rsidRPr="00126996" w:rsidRDefault="00982ADD" w:rsidP="00982ADD">
      <w:pPr>
        <w:jc w:val="both"/>
        <w:rPr>
          <w:b/>
          <w:bCs/>
        </w:rPr>
      </w:pPr>
      <w:r w:rsidRPr="00126996">
        <w:rPr>
          <w:b/>
          <w:bCs/>
        </w:rPr>
        <w:t>Przykład 2</w:t>
      </w:r>
    </w:p>
    <w:p w14:paraId="7DFA5222" w14:textId="77777777" w:rsidR="00982ADD" w:rsidRPr="00DB2C37" w:rsidRDefault="00982ADD" w:rsidP="00982ADD">
      <w:pPr>
        <w:jc w:val="both"/>
      </w:pPr>
      <w:r w:rsidRPr="00DB2C37">
        <w:t>Wielkość ubezpieczonej firmy: duż</w:t>
      </w:r>
      <w:r>
        <w:t>a</w:t>
      </w:r>
    </w:p>
    <w:p w14:paraId="072DD90B" w14:textId="77777777" w:rsidR="00982ADD" w:rsidRPr="00DB2C37" w:rsidRDefault="00982ADD" w:rsidP="00982ADD">
      <w:pPr>
        <w:jc w:val="both"/>
      </w:pPr>
      <w:r w:rsidRPr="00DB2C37">
        <w:t>Działalność gospodarcza ubezpieczonej firmy: produkcja urządzeń komputerowych</w:t>
      </w:r>
    </w:p>
    <w:p w14:paraId="04EC23B0" w14:textId="77777777" w:rsidR="00982ADD" w:rsidRPr="00DB2C37" w:rsidRDefault="00982ADD" w:rsidP="00982ADD">
      <w:pPr>
        <w:jc w:val="both"/>
      </w:pPr>
      <w:r w:rsidRPr="00DB2C37">
        <w:t xml:space="preserve">Typ ataku: </w:t>
      </w:r>
      <w:r>
        <w:t xml:space="preserve">system antywirusowy pokonany przez </w:t>
      </w:r>
      <w:r w:rsidRPr="00DB2C37">
        <w:t>najnowszy wirus</w:t>
      </w:r>
    </w:p>
    <w:p w14:paraId="11E68ED8" w14:textId="7EAE1E00" w:rsidR="00982ADD" w:rsidRPr="00DB2C37" w:rsidRDefault="00982ADD" w:rsidP="00982ADD">
      <w:pPr>
        <w:jc w:val="both"/>
      </w:pPr>
      <w:r w:rsidRPr="00DB2C37">
        <w:t xml:space="preserve">Opis: Nowe zagrożenie cybernetyczne zakłóciło działalność w renomowanym przedsiębiorstwie produkującym urządzenia komputerowe. Hakerzy zdołali przełamać nowoczesny system informatyczny ubezpieczonego za pomocą </w:t>
      </w:r>
      <w:r>
        <w:t>złośliwego</w:t>
      </w:r>
      <w:r w:rsidRPr="00DB2C37">
        <w:t xml:space="preserve"> oprogramowania, co wymusiło zawieszenie wszystkich działań produkcyjnych przez dwa tygodnie. Przez ten czas proces </w:t>
      </w:r>
      <w:r>
        <w:t>objął</w:t>
      </w:r>
      <w:r w:rsidRPr="00DB2C37">
        <w:t xml:space="preserve"> badanie, czyszczenie serwerów, oprogramowania oraz komputerów przez ekspertów. W celu naprawy rozległych szkód, roszczenie ubezpieczonego zostało podzielone na dwie kategorie: po pierwsze, znaczne koszty związane z</w:t>
      </w:r>
      <w:r>
        <w:t>e</w:t>
      </w:r>
      <w:r w:rsidRPr="00DB2C37">
        <w:t xml:space="preserve"> specjalistycznym śledztwem i bezpiecznym przeniesieniem danych na nowy sprzęt; po drugie, znaczące przerwy w działalności, które trwały ponad 14 dni, </w:t>
      </w:r>
      <w:r>
        <w:t xml:space="preserve">aż </w:t>
      </w:r>
      <w:r w:rsidRPr="00DB2C37">
        <w:t>do pełnej odbudowy infrastruktury IT.</w:t>
      </w:r>
    </w:p>
    <w:p w14:paraId="62229E63" w14:textId="10F413F3" w:rsidR="00982ADD" w:rsidRPr="00826EFC" w:rsidRDefault="00982ADD" w:rsidP="00982ADD">
      <w:pPr>
        <w:jc w:val="both"/>
      </w:pPr>
      <w:r w:rsidRPr="00DB2C37">
        <w:t xml:space="preserve">Skutki finansowe tego incydentu wyniosły od 130 000 do 260 000 euro. </w:t>
      </w:r>
      <w:r>
        <w:t>W</w:t>
      </w:r>
      <w:r w:rsidRPr="00DB2C37">
        <w:t xml:space="preserve">szechstronne ubezpieczenie </w:t>
      </w:r>
      <w:proofErr w:type="spellStart"/>
      <w:r w:rsidRPr="00DB2C37">
        <w:t>ryzyk</w:t>
      </w:r>
      <w:proofErr w:type="spellEnd"/>
      <w:r w:rsidRPr="00DB2C37">
        <w:t xml:space="preserve"> cybernetyczn</w:t>
      </w:r>
      <w:r>
        <w:t xml:space="preserve">ych </w:t>
      </w:r>
      <w:r w:rsidRPr="00DB2C37">
        <w:t xml:space="preserve">pokryło wszystkie wydatki związane z usługami ekspertów i zminimalizowało straty netto ze sprzedaży, przy czym udział własny </w:t>
      </w:r>
      <w:r>
        <w:t>to jedyny koszt poniesiony</w:t>
      </w:r>
      <w:r w:rsidRPr="00DB2C37">
        <w:t xml:space="preserve"> przez ubezpieczonego.</w:t>
      </w:r>
    </w:p>
    <w:p w14:paraId="3100168B" w14:textId="0940AB30" w:rsidR="00982ADD" w:rsidRPr="00982ADD" w:rsidRDefault="00982ADD" w:rsidP="00982ADD">
      <w:pPr>
        <w:jc w:val="both"/>
        <w:rPr>
          <w:b/>
          <w:bCs/>
        </w:rPr>
      </w:pPr>
      <w:r w:rsidRPr="00901458">
        <w:rPr>
          <w:b/>
          <w:bCs/>
        </w:rPr>
        <w:t>Adresowanie ryzyka związanego z cyberprzestępczością i prywatnością</w:t>
      </w:r>
    </w:p>
    <w:p w14:paraId="66A4D181" w14:textId="17934EBF" w:rsidR="00982ADD" w:rsidRPr="00901458" w:rsidRDefault="00982ADD" w:rsidP="00982ADD">
      <w:pPr>
        <w:jc w:val="both"/>
      </w:pPr>
      <w:r w:rsidRPr="00901458">
        <w:t xml:space="preserve">Współczesne zagrożenia dla systemów informatycznych odzwierciedlają niebezpieczeństwa </w:t>
      </w:r>
      <w:r>
        <w:t>dotyczące</w:t>
      </w:r>
      <w:r w:rsidRPr="00901458">
        <w:t xml:space="preserve"> aktyw</w:t>
      </w:r>
      <w:r>
        <w:t>ów</w:t>
      </w:r>
      <w:r w:rsidRPr="00901458">
        <w:t xml:space="preserve"> materialny</w:t>
      </w:r>
      <w:r>
        <w:t>ch</w:t>
      </w:r>
      <w:r w:rsidRPr="00901458">
        <w:t xml:space="preserve">. Konsekwencje incydentu cybernetycznego mogą być bardzo poważne. </w:t>
      </w:r>
      <w:r w:rsidRPr="00901458">
        <w:lastRenderedPageBreak/>
        <w:t>Ubezpieczenie cybernetyczne Colonnade zaprojektowan</w:t>
      </w:r>
      <w:r>
        <w:t>o</w:t>
      </w:r>
      <w:r w:rsidRPr="00901458">
        <w:t xml:space="preserve">, aby poradzić sobie z zawiłymi reakcjami łańcuchowymi takich kryzysów, łagodząc ich rozległe skutki. </w:t>
      </w:r>
      <w:r>
        <w:t>Poniżej znajduje się przykładowy s</w:t>
      </w:r>
      <w:r w:rsidRPr="00901458">
        <w:t>cenariusz, który podkreśla wieloaspektowy charakter tych wyzwań w ramach przedsiębiorstwa:</w:t>
      </w:r>
    </w:p>
    <w:p w14:paraId="5C061E19" w14:textId="77777777" w:rsidR="00982ADD" w:rsidRPr="00901458" w:rsidRDefault="00982ADD" w:rsidP="00982ADD">
      <w:pPr>
        <w:jc w:val="both"/>
      </w:pPr>
      <w:r w:rsidRPr="00901458">
        <w:t xml:space="preserve">• Wyciek danych: poufne dane biznesowe lub osobiste są nielegalnie ujawniane, co </w:t>
      </w:r>
      <w:r>
        <w:t>niszczy</w:t>
      </w:r>
      <w:r w:rsidRPr="00901458">
        <w:t xml:space="preserve"> zaufanie i reputację.</w:t>
      </w:r>
    </w:p>
    <w:p w14:paraId="71BD95EC" w14:textId="77777777" w:rsidR="00982ADD" w:rsidRPr="00901458" w:rsidRDefault="00982ADD" w:rsidP="00982ADD">
      <w:pPr>
        <w:jc w:val="both"/>
      </w:pPr>
      <w:r w:rsidRPr="00901458">
        <w:t>• Zarządzanie kryzysowe</w:t>
      </w:r>
      <w:r>
        <w:t xml:space="preserve"> działu</w:t>
      </w:r>
      <w:r w:rsidRPr="00901458">
        <w:t xml:space="preserve"> IT: szybka reakcja ze strony działu IT jest niezbędna do przywrócenia normalnej działalności, jednocześnie utrzymując operacje biznesowe.</w:t>
      </w:r>
    </w:p>
    <w:p w14:paraId="112D6DB5" w14:textId="77777777" w:rsidR="00982ADD" w:rsidRPr="00901458" w:rsidRDefault="00982ADD" w:rsidP="00982ADD">
      <w:pPr>
        <w:jc w:val="both"/>
      </w:pPr>
      <w:r w:rsidRPr="00901458">
        <w:t xml:space="preserve">• Łagodzenie kryzysu </w:t>
      </w:r>
      <w:r>
        <w:t xml:space="preserve">poprzez działania </w:t>
      </w:r>
      <w:r w:rsidRPr="00901458">
        <w:t xml:space="preserve">PR: szybka reakcja na wiadomości o wycieku danych łagodzi szkody </w:t>
      </w:r>
      <w:proofErr w:type="spellStart"/>
      <w:r w:rsidRPr="00901458">
        <w:t>reputacyjne</w:t>
      </w:r>
      <w:proofErr w:type="spellEnd"/>
      <w:r w:rsidRPr="00901458">
        <w:t xml:space="preserve"> zaostrzone przez zasięg mediów społecznościowych.</w:t>
      </w:r>
    </w:p>
    <w:p w14:paraId="16D66CAF" w14:textId="77777777" w:rsidR="00982ADD" w:rsidRPr="00901458" w:rsidRDefault="00982ADD" w:rsidP="00982ADD">
      <w:pPr>
        <w:jc w:val="both"/>
      </w:pPr>
      <w:r w:rsidRPr="00901458">
        <w:t>• Skutki finansowe: konsekwencje finansowe incydentu zakłócają regularne operacje biznesowe.</w:t>
      </w:r>
    </w:p>
    <w:p w14:paraId="0EC2918C" w14:textId="1E900EC5" w:rsidR="00982ADD" w:rsidRPr="0081419B" w:rsidRDefault="00982ADD" w:rsidP="00982ADD">
      <w:pPr>
        <w:jc w:val="both"/>
      </w:pPr>
      <w:r w:rsidRPr="00901458">
        <w:t>• Zamieszanie w zarządzaniu: nieprzewidziane incydenty stwarzają wyzwania na poziomie zarządzania.</w:t>
      </w:r>
    </w:p>
    <w:p w14:paraId="5F937414" w14:textId="68C311D5" w:rsidR="00982ADD" w:rsidRPr="00982ADD" w:rsidRDefault="00982ADD" w:rsidP="00982ADD">
      <w:pPr>
        <w:jc w:val="both"/>
        <w:rPr>
          <w:b/>
          <w:bCs/>
        </w:rPr>
      </w:pPr>
      <w:r>
        <w:rPr>
          <w:b/>
          <w:bCs/>
        </w:rPr>
        <w:t>Przewagi</w:t>
      </w:r>
      <w:r w:rsidRPr="009C1E4E">
        <w:rPr>
          <w:b/>
          <w:bCs/>
        </w:rPr>
        <w:t xml:space="preserve"> i zalety ubezpiecze</w:t>
      </w:r>
      <w:r>
        <w:rPr>
          <w:b/>
          <w:bCs/>
        </w:rPr>
        <w:t>ń</w:t>
      </w:r>
      <w:r w:rsidRPr="009C1E4E">
        <w:rPr>
          <w:b/>
          <w:bCs/>
        </w:rPr>
        <w:t xml:space="preserve"> </w:t>
      </w:r>
      <w:proofErr w:type="spellStart"/>
      <w:r w:rsidRPr="009C1E4E">
        <w:rPr>
          <w:b/>
          <w:bCs/>
        </w:rPr>
        <w:t>ryzyk</w:t>
      </w:r>
      <w:proofErr w:type="spellEnd"/>
      <w:r w:rsidRPr="009C1E4E">
        <w:rPr>
          <w:b/>
          <w:bCs/>
        </w:rPr>
        <w:t xml:space="preserve"> cybernetyczn</w:t>
      </w:r>
      <w:r>
        <w:rPr>
          <w:b/>
          <w:bCs/>
        </w:rPr>
        <w:t>ych</w:t>
      </w:r>
      <w:r w:rsidRPr="009C1E4E">
        <w:rPr>
          <w:b/>
          <w:bCs/>
        </w:rPr>
        <w:t xml:space="preserve"> i prywatnoś</w:t>
      </w:r>
      <w:r>
        <w:rPr>
          <w:b/>
          <w:bCs/>
        </w:rPr>
        <w:t>ci</w:t>
      </w:r>
    </w:p>
    <w:p w14:paraId="3FD70AEF" w14:textId="0C3F0582" w:rsidR="00982ADD" w:rsidRPr="00350B56" w:rsidRDefault="00982ADD" w:rsidP="00982ADD">
      <w:pPr>
        <w:jc w:val="both"/>
      </w:pPr>
      <w:r w:rsidRPr="00165103">
        <w:t xml:space="preserve">Ubezpieczenie </w:t>
      </w:r>
      <w:proofErr w:type="spellStart"/>
      <w:r>
        <w:t>ryzyk</w:t>
      </w:r>
      <w:proofErr w:type="spellEnd"/>
      <w:r>
        <w:t xml:space="preserve"> </w:t>
      </w:r>
      <w:r w:rsidRPr="00165103">
        <w:t>cybernetyczn</w:t>
      </w:r>
      <w:r>
        <w:t>ych</w:t>
      </w:r>
      <w:r w:rsidRPr="00165103">
        <w:t xml:space="preserve"> i prywatność wykracza poza konwencjonalne paradygmaty ochrony, obejmując wielowymiarowe aspekty naruszeń danych, wycieków i ich konsekwencji. Zakres o</w:t>
      </w:r>
      <w:r>
        <w:t>ferty o</w:t>
      </w:r>
      <w:r w:rsidRPr="00165103">
        <w:t xml:space="preserve">bejmuje ochronę finansową, </w:t>
      </w:r>
      <w:r>
        <w:t xml:space="preserve">wsparcie w </w:t>
      </w:r>
      <w:r w:rsidRPr="00165103">
        <w:t>zachowani</w:t>
      </w:r>
      <w:r>
        <w:t>u</w:t>
      </w:r>
      <w:r w:rsidRPr="00165103">
        <w:t xml:space="preserve"> reputacji korporacyjnej, łagodzenie </w:t>
      </w:r>
      <w:r>
        <w:t xml:space="preserve">negatywnych </w:t>
      </w:r>
      <w:r w:rsidRPr="00165103">
        <w:t>wpływów na systemy IT oraz synergiczną ochronę ubezpieczeniową wraz z ekspertyzą doradczą</w:t>
      </w:r>
      <w:r>
        <w:t>,</w:t>
      </w:r>
      <w:r w:rsidRPr="00165103">
        <w:t xml:space="preserve"> </w:t>
      </w:r>
      <w:r>
        <w:t>a także</w:t>
      </w:r>
      <w:r w:rsidRPr="00165103">
        <w:t xml:space="preserve"> </w:t>
      </w:r>
      <w:r>
        <w:t xml:space="preserve">ekspertyzy śledcze, </w:t>
      </w:r>
      <w:r w:rsidRPr="00165103">
        <w:t xml:space="preserve">odzyskiwanie utraconych danych elektronicznych, ponowne zbieranie, replikację i </w:t>
      </w:r>
      <w:r>
        <w:t xml:space="preserve">pokrycie </w:t>
      </w:r>
      <w:r w:rsidRPr="00165103">
        <w:t>koszt</w:t>
      </w:r>
      <w:r>
        <w:t>ów ich</w:t>
      </w:r>
      <w:r w:rsidRPr="00165103">
        <w:t xml:space="preserve"> odzyskiwania.</w:t>
      </w:r>
    </w:p>
    <w:p w14:paraId="26FA4025" w14:textId="59A0E35B" w:rsidR="00982ADD" w:rsidRPr="00982ADD" w:rsidRDefault="00982ADD" w:rsidP="00982ADD">
      <w:pPr>
        <w:jc w:val="both"/>
      </w:pPr>
      <w:r w:rsidRPr="00165103">
        <w:t xml:space="preserve">Ubezpieczenie </w:t>
      </w:r>
      <w:proofErr w:type="spellStart"/>
      <w:r>
        <w:t>ryzyk</w:t>
      </w:r>
      <w:proofErr w:type="spellEnd"/>
      <w:r>
        <w:t xml:space="preserve"> </w:t>
      </w:r>
      <w:r w:rsidRPr="00165103">
        <w:t>cybernetyczn</w:t>
      </w:r>
      <w:r>
        <w:t>ych</w:t>
      </w:r>
      <w:r w:rsidRPr="00165103">
        <w:t xml:space="preserve"> i prywatnoś</w:t>
      </w:r>
      <w:r>
        <w:t>ci</w:t>
      </w:r>
      <w:r w:rsidRPr="00165103">
        <w:t xml:space="preserve"> oferuje uniwersalne rozwiązanie dostępne dla przedsiębiorstw </w:t>
      </w:r>
      <w:r>
        <w:t xml:space="preserve">każdej wielkości i ze </w:t>
      </w:r>
      <w:r w:rsidRPr="00165103">
        <w:t xml:space="preserve">wszystkich branż. Niezależnie od charakteru, podmioty podatne na opisane wyzwalacze - czy to </w:t>
      </w:r>
      <w:r>
        <w:t>kradzieże</w:t>
      </w:r>
      <w:r w:rsidRPr="00165103">
        <w:t xml:space="preserve"> danych, zakłócenia sieci czy inne - mogą skorzystać z ochrony </w:t>
      </w:r>
      <w:r>
        <w:t>zapewnianej przez to</w:t>
      </w:r>
      <w:r w:rsidRPr="00165103">
        <w:t xml:space="preserve"> ubezpieczeni</w:t>
      </w:r>
      <w:r>
        <w:t>e</w:t>
      </w:r>
      <w:r w:rsidRPr="00165103">
        <w:t xml:space="preserve">. W świecie naznaczonym niepewnością, jedna prawda pozostaje niezachwiana: </w:t>
      </w:r>
      <w:proofErr w:type="spellStart"/>
      <w:r w:rsidRPr="00165103">
        <w:t>cyberodpornoś</w:t>
      </w:r>
      <w:r>
        <w:t>ć</w:t>
      </w:r>
      <w:proofErr w:type="spellEnd"/>
      <w:r w:rsidRPr="00165103">
        <w:t xml:space="preserve"> stanowi fundament, na którym budowane jest solidne przedsiębiorstwo.</w:t>
      </w:r>
    </w:p>
    <w:p w14:paraId="1324CF38" w14:textId="5A8E628D" w:rsidR="001A573D" w:rsidRPr="00442B8F" w:rsidRDefault="001A573D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442B8F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442B8F" w:rsidRDefault="001A573D" w:rsidP="001A573D">
      <w:pPr>
        <w:pStyle w:val="Heading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442B8F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442B8F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4D58B7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D58B7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3DA17B3B" w14:textId="77777777" w:rsidR="001A573D" w:rsidRPr="004D58B7" w:rsidRDefault="00A26603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1" w:history="1">
        <w:r w:rsidR="002C6404" w:rsidRPr="004D58B7">
          <w:rPr>
            <w:rStyle w:val="Hyperlink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77016C7C" w14:textId="77777777" w:rsidR="001A573D" w:rsidRPr="00442B8F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42B8F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442B8F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442B8F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442B8F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5E5267D6" w14:textId="685D476E" w:rsidR="001F2A38" w:rsidRPr="002C6404" w:rsidRDefault="00243586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</w:t>
      </w:r>
      <w:proofErr w:type="spellStart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SCOR and Everest Re, Aspen Re, syndykat </w:t>
      </w:r>
      <w:proofErr w:type="spellStart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243586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sectPr w:rsidR="001F2A38" w:rsidRPr="002C6404" w:rsidSect="00D01406">
      <w:headerReference w:type="default" r:id="rId12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41D3" w14:textId="77777777" w:rsidR="00BA53BA" w:rsidRDefault="00BA53BA" w:rsidP="00303CAB">
      <w:pPr>
        <w:spacing w:after="0" w:line="240" w:lineRule="auto"/>
      </w:pPr>
      <w:r>
        <w:separator/>
      </w:r>
    </w:p>
  </w:endnote>
  <w:endnote w:type="continuationSeparator" w:id="0">
    <w:p w14:paraId="2D8A0385" w14:textId="77777777" w:rsidR="00BA53BA" w:rsidRDefault="00BA53BA" w:rsidP="00303CAB">
      <w:pPr>
        <w:spacing w:after="0" w:line="240" w:lineRule="auto"/>
      </w:pPr>
      <w:r>
        <w:continuationSeparator/>
      </w:r>
    </w:p>
  </w:endnote>
  <w:endnote w:type="continuationNotice" w:id="1">
    <w:p w14:paraId="36C30D41" w14:textId="77777777" w:rsidR="00BA53BA" w:rsidRDefault="00BA53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1E7E" w14:textId="77777777" w:rsidR="00BA53BA" w:rsidRDefault="00BA53BA" w:rsidP="00303CAB">
      <w:pPr>
        <w:spacing w:after="0" w:line="240" w:lineRule="auto"/>
      </w:pPr>
      <w:r>
        <w:separator/>
      </w:r>
    </w:p>
  </w:footnote>
  <w:footnote w:type="continuationSeparator" w:id="0">
    <w:p w14:paraId="2B9D003E" w14:textId="77777777" w:rsidR="00BA53BA" w:rsidRDefault="00BA53BA" w:rsidP="00303CAB">
      <w:pPr>
        <w:spacing w:after="0" w:line="240" w:lineRule="auto"/>
      </w:pPr>
      <w:r>
        <w:continuationSeparator/>
      </w:r>
    </w:p>
  </w:footnote>
  <w:footnote w:type="continuationNotice" w:id="1">
    <w:p w14:paraId="5DE90D53" w14:textId="77777777" w:rsidR="00BA53BA" w:rsidRDefault="00BA53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22F5" w14:textId="048A275C" w:rsidR="00303CAB" w:rsidRDefault="002E2B6C" w:rsidP="007F2DF8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0D6"/>
    <w:multiLevelType w:val="multilevel"/>
    <w:tmpl w:val="743E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54659"/>
    <w:multiLevelType w:val="hybridMultilevel"/>
    <w:tmpl w:val="FB86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27FC"/>
    <w:multiLevelType w:val="hybridMultilevel"/>
    <w:tmpl w:val="6250E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C0738"/>
    <w:multiLevelType w:val="hybridMultilevel"/>
    <w:tmpl w:val="552CE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2801"/>
    <w:multiLevelType w:val="hybridMultilevel"/>
    <w:tmpl w:val="DA520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DA7"/>
    <w:multiLevelType w:val="multilevel"/>
    <w:tmpl w:val="EA26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632BA5"/>
    <w:multiLevelType w:val="hybridMultilevel"/>
    <w:tmpl w:val="287E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D6F84"/>
    <w:multiLevelType w:val="multilevel"/>
    <w:tmpl w:val="F0FA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932032">
    <w:abstractNumId w:val="6"/>
  </w:num>
  <w:num w:numId="2" w16cid:durableId="363678762">
    <w:abstractNumId w:val="4"/>
  </w:num>
  <w:num w:numId="3" w16cid:durableId="1984037871">
    <w:abstractNumId w:val="2"/>
  </w:num>
  <w:num w:numId="4" w16cid:durableId="1728143850">
    <w:abstractNumId w:val="0"/>
  </w:num>
  <w:num w:numId="5" w16cid:durableId="1979142622">
    <w:abstractNumId w:val="7"/>
  </w:num>
  <w:num w:numId="6" w16cid:durableId="960647152">
    <w:abstractNumId w:val="5"/>
  </w:num>
  <w:num w:numId="7" w16cid:durableId="109010898">
    <w:abstractNumId w:val="3"/>
  </w:num>
  <w:num w:numId="8" w16cid:durableId="2110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01CF5"/>
    <w:rsid w:val="000041DD"/>
    <w:rsid w:val="00016B2B"/>
    <w:rsid w:val="00032E9D"/>
    <w:rsid w:val="00035CC9"/>
    <w:rsid w:val="00037038"/>
    <w:rsid w:val="000423B2"/>
    <w:rsid w:val="00044670"/>
    <w:rsid w:val="00044BBC"/>
    <w:rsid w:val="000518EF"/>
    <w:rsid w:val="00053DFF"/>
    <w:rsid w:val="00056B0F"/>
    <w:rsid w:val="0006001E"/>
    <w:rsid w:val="0006050D"/>
    <w:rsid w:val="000670F7"/>
    <w:rsid w:val="000716C1"/>
    <w:rsid w:val="00076BBB"/>
    <w:rsid w:val="00077EDB"/>
    <w:rsid w:val="000937A8"/>
    <w:rsid w:val="00094E8A"/>
    <w:rsid w:val="00097A9B"/>
    <w:rsid w:val="000A3D60"/>
    <w:rsid w:val="000A77CE"/>
    <w:rsid w:val="000B015F"/>
    <w:rsid w:val="000B242E"/>
    <w:rsid w:val="000B6EFA"/>
    <w:rsid w:val="000C4852"/>
    <w:rsid w:val="000C5311"/>
    <w:rsid w:val="000C7C7E"/>
    <w:rsid w:val="0010179E"/>
    <w:rsid w:val="00102637"/>
    <w:rsid w:val="00102B2F"/>
    <w:rsid w:val="001141E6"/>
    <w:rsid w:val="00116D45"/>
    <w:rsid w:val="00123CC3"/>
    <w:rsid w:val="00131138"/>
    <w:rsid w:val="00135744"/>
    <w:rsid w:val="00142058"/>
    <w:rsid w:val="0014380E"/>
    <w:rsid w:val="001442FD"/>
    <w:rsid w:val="001536F4"/>
    <w:rsid w:val="001563FD"/>
    <w:rsid w:val="00156C8B"/>
    <w:rsid w:val="00165993"/>
    <w:rsid w:val="00165C06"/>
    <w:rsid w:val="0016634B"/>
    <w:rsid w:val="00166495"/>
    <w:rsid w:val="00170C76"/>
    <w:rsid w:val="00176517"/>
    <w:rsid w:val="00181838"/>
    <w:rsid w:val="001824FD"/>
    <w:rsid w:val="0018556F"/>
    <w:rsid w:val="00197389"/>
    <w:rsid w:val="001973EA"/>
    <w:rsid w:val="001A522D"/>
    <w:rsid w:val="001A573D"/>
    <w:rsid w:val="001A58B6"/>
    <w:rsid w:val="001A58FF"/>
    <w:rsid w:val="001A7B5B"/>
    <w:rsid w:val="001B1A92"/>
    <w:rsid w:val="001B24BB"/>
    <w:rsid w:val="001B2F41"/>
    <w:rsid w:val="001C1A5D"/>
    <w:rsid w:val="001C2B8E"/>
    <w:rsid w:val="001C3256"/>
    <w:rsid w:val="001C7C4A"/>
    <w:rsid w:val="001D117A"/>
    <w:rsid w:val="001D4430"/>
    <w:rsid w:val="001E3102"/>
    <w:rsid w:val="001E7108"/>
    <w:rsid w:val="001F2A38"/>
    <w:rsid w:val="00200859"/>
    <w:rsid w:val="0020513F"/>
    <w:rsid w:val="002071A2"/>
    <w:rsid w:val="00214A4F"/>
    <w:rsid w:val="00214CDD"/>
    <w:rsid w:val="0021611D"/>
    <w:rsid w:val="00236F18"/>
    <w:rsid w:val="00243586"/>
    <w:rsid w:val="002561A0"/>
    <w:rsid w:val="002605EB"/>
    <w:rsid w:val="0026204A"/>
    <w:rsid w:val="00263A9C"/>
    <w:rsid w:val="00266FF3"/>
    <w:rsid w:val="00267FD9"/>
    <w:rsid w:val="002713F5"/>
    <w:rsid w:val="00272CC6"/>
    <w:rsid w:val="00276C61"/>
    <w:rsid w:val="00276D10"/>
    <w:rsid w:val="002841A0"/>
    <w:rsid w:val="00285074"/>
    <w:rsid w:val="002868EC"/>
    <w:rsid w:val="00291904"/>
    <w:rsid w:val="002A2AB7"/>
    <w:rsid w:val="002A4814"/>
    <w:rsid w:val="002B73E6"/>
    <w:rsid w:val="002C0D27"/>
    <w:rsid w:val="002C18D5"/>
    <w:rsid w:val="002C6404"/>
    <w:rsid w:val="002E1E0D"/>
    <w:rsid w:val="002E2B6C"/>
    <w:rsid w:val="002E3617"/>
    <w:rsid w:val="00303CAB"/>
    <w:rsid w:val="0031018C"/>
    <w:rsid w:val="00313F47"/>
    <w:rsid w:val="00316172"/>
    <w:rsid w:val="0034083A"/>
    <w:rsid w:val="00341DCB"/>
    <w:rsid w:val="0034775A"/>
    <w:rsid w:val="0035100D"/>
    <w:rsid w:val="0035260F"/>
    <w:rsid w:val="00364332"/>
    <w:rsid w:val="00364A16"/>
    <w:rsid w:val="00364B44"/>
    <w:rsid w:val="00366A2B"/>
    <w:rsid w:val="00366E95"/>
    <w:rsid w:val="003672B1"/>
    <w:rsid w:val="00367B4D"/>
    <w:rsid w:val="0037019A"/>
    <w:rsid w:val="00370652"/>
    <w:rsid w:val="003706A6"/>
    <w:rsid w:val="0037379A"/>
    <w:rsid w:val="00380BAF"/>
    <w:rsid w:val="00380E31"/>
    <w:rsid w:val="003820A8"/>
    <w:rsid w:val="003826B6"/>
    <w:rsid w:val="00395FD5"/>
    <w:rsid w:val="00396E4B"/>
    <w:rsid w:val="003A1C23"/>
    <w:rsid w:val="003A4F10"/>
    <w:rsid w:val="003B0482"/>
    <w:rsid w:val="003B2B68"/>
    <w:rsid w:val="003B3A19"/>
    <w:rsid w:val="003C0D8A"/>
    <w:rsid w:val="003C700D"/>
    <w:rsid w:val="003D02EA"/>
    <w:rsid w:val="003D1309"/>
    <w:rsid w:val="003D35AA"/>
    <w:rsid w:val="003D4E05"/>
    <w:rsid w:val="003D6456"/>
    <w:rsid w:val="003E0803"/>
    <w:rsid w:val="003E7208"/>
    <w:rsid w:val="00403699"/>
    <w:rsid w:val="00404C66"/>
    <w:rsid w:val="00407469"/>
    <w:rsid w:val="00413F47"/>
    <w:rsid w:val="00416451"/>
    <w:rsid w:val="00420D38"/>
    <w:rsid w:val="00420E0C"/>
    <w:rsid w:val="00420FF8"/>
    <w:rsid w:val="0042185A"/>
    <w:rsid w:val="00426AA8"/>
    <w:rsid w:val="00430F0D"/>
    <w:rsid w:val="00433610"/>
    <w:rsid w:val="00442B8F"/>
    <w:rsid w:val="00444A75"/>
    <w:rsid w:val="00453442"/>
    <w:rsid w:val="0045452B"/>
    <w:rsid w:val="00465680"/>
    <w:rsid w:val="00477306"/>
    <w:rsid w:val="00480405"/>
    <w:rsid w:val="00485CF9"/>
    <w:rsid w:val="00495AB6"/>
    <w:rsid w:val="004A1CE4"/>
    <w:rsid w:val="004A1DA6"/>
    <w:rsid w:val="004A5267"/>
    <w:rsid w:val="004A7762"/>
    <w:rsid w:val="004B0D54"/>
    <w:rsid w:val="004B2B5C"/>
    <w:rsid w:val="004B571C"/>
    <w:rsid w:val="004B6EC2"/>
    <w:rsid w:val="004D1D53"/>
    <w:rsid w:val="004D31BF"/>
    <w:rsid w:val="004D58B7"/>
    <w:rsid w:val="004E02DA"/>
    <w:rsid w:val="004E0B08"/>
    <w:rsid w:val="004E1B13"/>
    <w:rsid w:val="004E3BAD"/>
    <w:rsid w:val="004E7204"/>
    <w:rsid w:val="004F53E3"/>
    <w:rsid w:val="004F6CCF"/>
    <w:rsid w:val="0050110E"/>
    <w:rsid w:val="005015E9"/>
    <w:rsid w:val="005029E5"/>
    <w:rsid w:val="00504F82"/>
    <w:rsid w:val="005051EC"/>
    <w:rsid w:val="00516D8B"/>
    <w:rsid w:val="00520121"/>
    <w:rsid w:val="00525EA3"/>
    <w:rsid w:val="005314A6"/>
    <w:rsid w:val="0053369A"/>
    <w:rsid w:val="00537D95"/>
    <w:rsid w:val="0054007D"/>
    <w:rsid w:val="0055330F"/>
    <w:rsid w:val="005574E9"/>
    <w:rsid w:val="005602F6"/>
    <w:rsid w:val="005710F5"/>
    <w:rsid w:val="00572715"/>
    <w:rsid w:val="005732F6"/>
    <w:rsid w:val="00573E39"/>
    <w:rsid w:val="00576283"/>
    <w:rsid w:val="005826C1"/>
    <w:rsid w:val="00587A54"/>
    <w:rsid w:val="00595938"/>
    <w:rsid w:val="005A2A7C"/>
    <w:rsid w:val="005A521D"/>
    <w:rsid w:val="005A6AC9"/>
    <w:rsid w:val="005A729C"/>
    <w:rsid w:val="005B0A3B"/>
    <w:rsid w:val="005C18A6"/>
    <w:rsid w:val="005C237A"/>
    <w:rsid w:val="005D21C6"/>
    <w:rsid w:val="005D273E"/>
    <w:rsid w:val="005D4A32"/>
    <w:rsid w:val="005E25FB"/>
    <w:rsid w:val="005F06BE"/>
    <w:rsid w:val="005F5C65"/>
    <w:rsid w:val="00605CE9"/>
    <w:rsid w:val="00606AEA"/>
    <w:rsid w:val="00610F7E"/>
    <w:rsid w:val="00612764"/>
    <w:rsid w:val="00613ECA"/>
    <w:rsid w:val="00614CC2"/>
    <w:rsid w:val="00616352"/>
    <w:rsid w:val="00617FC5"/>
    <w:rsid w:val="006222F8"/>
    <w:rsid w:val="006226F7"/>
    <w:rsid w:val="0062685E"/>
    <w:rsid w:val="00627F83"/>
    <w:rsid w:val="00637CE5"/>
    <w:rsid w:val="0064085C"/>
    <w:rsid w:val="0064099C"/>
    <w:rsid w:val="0064171F"/>
    <w:rsid w:val="006462F7"/>
    <w:rsid w:val="006464AA"/>
    <w:rsid w:val="00650BC6"/>
    <w:rsid w:val="00655095"/>
    <w:rsid w:val="006615F0"/>
    <w:rsid w:val="00663C77"/>
    <w:rsid w:val="00665ABF"/>
    <w:rsid w:val="00667F70"/>
    <w:rsid w:val="00683884"/>
    <w:rsid w:val="00687BC1"/>
    <w:rsid w:val="00687D21"/>
    <w:rsid w:val="0069155E"/>
    <w:rsid w:val="00691DFA"/>
    <w:rsid w:val="006928BC"/>
    <w:rsid w:val="006A1E76"/>
    <w:rsid w:val="006A350A"/>
    <w:rsid w:val="006A3DB5"/>
    <w:rsid w:val="006A5081"/>
    <w:rsid w:val="006A5504"/>
    <w:rsid w:val="006B3D7E"/>
    <w:rsid w:val="006C28F0"/>
    <w:rsid w:val="006C2C5B"/>
    <w:rsid w:val="006C5495"/>
    <w:rsid w:val="006C656F"/>
    <w:rsid w:val="006C679D"/>
    <w:rsid w:val="006D00BC"/>
    <w:rsid w:val="006D1A0C"/>
    <w:rsid w:val="006D2F2C"/>
    <w:rsid w:val="006D36BF"/>
    <w:rsid w:val="006D875D"/>
    <w:rsid w:val="006E1FF9"/>
    <w:rsid w:val="006E4B70"/>
    <w:rsid w:val="006E54DC"/>
    <w:rsid w:val="006E6DA0"/>
    <w:rsid w:val="006F21BE"/>
    <w:rsid w:val="006F2B0B"/>
    <w:rsid w:val="006F5F08"/>
    <w:rsid w:val="006F7627"/>
    <w:rsid w:val="0070201D"/>
    <w:rsid w:val="00703552"/>
    <w:rsid w:val="00704977"/>
    <w:rsid w:val="007169A9"/>
    <w:rsid w:val="00717CA2"/>
    <w:rsid w:val="00726843"/>
    <w:rsid w:val="007303F1"/>
    <w:rsid w:val="00733BAA"/>
    <w:rsid w:val="00736891"/>
    <w:rsid w:val="00737E2E"/>
    <w:rsid w:val="00743F07"/>
    <w:rsid w:val="00753D0A"/>
    <w:rsid w:val="00755C75"/>
    <w:rsid w:val="00767431"/>
    <w:rsid w:val="0077129B"/>
    <w:rsid w:val="00772A48"/>
    <w:rsid w:val="007776EB"/>
    <w:rsid w:val="00782631"/>
    <w:rsid w:val="00783498"/>
    <w:rsid w:val="00792E66"/>
    <w:rsid w:val="00795CE4"/>
    <w:rsid w:val="00796F31"/>
    <w:rsid w:val="007A59D2"/>
    <w:rsid w:val="007A6644"/>
    <w:rsid w:val="007B2230"/>
    <w:rsid w:val="007B2931"/>
    <w:rsid w:val="007B7AD7"/>
    <w:rsid w:val="007C14E4"/>
    <w:rsid w:val="007D0D5E"/>
    <w:rsid w:val="007D194C"/>
    <w:rsid w:val="007E6B6A"/>
    <w:rsid w:val="007E7720"/>
    <w:rsid w:val="007F1A68"/>
    <w:rsid w:val="007F2DF8"/>
    <w:rsid w:val="0080165E"/>
    <w:rsid w:val="0080273D"/>
    <w:rsid w:val="00807213"/>
    <w:rsid w:val="0080739A"/>
    <w:rsid w:val="00820B90"/>
    <w:rsid w:val="00826FAE"/>
    <w:rsid w:val="00832527"/>
    <w:rsid w:val="008327BB"/>
    <w:rsid w:val="00833DD6"/>
    <w:rsid w:val="00851F47"/>
    <w:rsid w:val="00853E1C"/>
    <w:rsid w:val="00854E7C"/>
    <w:rsid w:val="0085698E"/>
    <w:rsid w:val="00861AD7"/>
    <w:rsid w:val="00862016"/>
    <w:rsid w:val="00864DE9"/>
    <w:rsid w:val="00870400"/>
    <w:rsid w:val="00873573"/>
    <w:rsid w:val="00875DA9"/>
    <w:rsid w:val="00877B7E"/>
    <w:rsid w:val="00883EFF"/>
    <w:rsid w:val="00891106"/>
    <w:rsid w:val="0089208F"/>
    <w:rsid w:val="008A311E"/>
    <w:rsid w:val="008A6314"/>
    <w:rsid w:val="008C070E"/>
    <w:rsid w:val="008C3700"/>
    <w:rsid w:val="008C491F"/>
    <w:rsid w:val="008D337E"/>
    <w:rsid w:val="008D4627"/>
    <w:rsid w:val="008D54DB"/>
    <w:rsid w:val="008E1DCB"/>
    <w:rsid w:val="008E6FD9"/>
    <w:rsid w:val="008E7734"/>
    <w:rsid w:val="008F0BAE"/>
    <w:rsid w:val="008F3536"/>
    <w:rsid w:val="008F7C02"/>
    <w:rsid w:val="00903D4D"/>
    <w:rsid w:val="00916AD1"/>
    <w:rsid w:val="00921B1C"/>
    <w:rsid w:val="0092400A"/>
    <w:rsid w:val="009256B6"/>
    <w:rsid w:val="00927005"/>
    <w:rsid w:val="009312FD"/>
    <w:rsid w:val="00944ACB"/>
    <w:rsid w:val="00945DAD"/>
    <w:rsid w:val="00950BE1"/>
    <w:rsid w:val="00966C9F"/>
    <w:rsid w:val="00972149"/>
    <w:rsid w:val="00972C30"/>
    <w:rsid w:val="009751C5"/>
    <w:rsid w:val="00982ADD"/>
    <w:rsid w:val="009924F8"/>
    <w:rsid w:val="009A033D"/>
    <w:rsid w:val="009A2F27"/>
    <w:rsid w:val="009A4356"/>
    <w:rsid w:val="009A5B29"/>
    <w:rsid w:val="009C0B28"/>
    <w:rsid w:val="009C4A14"/>
    <w:rsid w:val="009D3017"/>
    <w:rsid w:val="009D6741"/>
    <w:rsid w:val="009E15D1"/>
    <w:rsid w:val="009E30BF"/>
    <w:rsid w:val="009E3700"/>
    <w:rsid w:val="009E5BE3"/>
    <w:rsid w:val="009E7B16"/>
    <w:rsid w:val="009F1E27"/>
    <w:rsid w:val="009F2630"/>
    <w:rsid w:val="009F3A9E"/>
    <w:rsid w:val="009F5039"/>
    <w:rsid w:val="009F76F6"/>
    <w:rsid w:val="009F7CD0"/>
    <w:rsid w:val="00A005D6"/>
    <w:rsid w:val="00A04158"/>
    <w:rsid w:val="00A10D9F"/>
    <w:rsid w:val="00A12422"/>
    <w:rsid w:val="00A13727"/>
    <w:rsid w:val="00A22713"/>
    <w:rsid w:val="00A26603"/>
    <w:rsid w:val="00A27F05"/>
    <w:rsid w:val="00A3007F"/>
    <w:rsid w:val="00A300E3"/>
    <w:rsid w:val="00A32370"/>
    <w:rsid w:val="00A33B78"/>
    <w:rsid w:val="00A35D02"/>
    <w:rsid w:val="00A46744"/>
    <w:rsid w:val="00A5026B"/>
    <w:rsid w:val="00A57EE6"/>
    <w:rsid w:val="00A620CD"/>
    <w:rsid w:val="00A642DB"/>
    <w:rsid w:val="00A67639"/>
    <w:rsid w:val="00A81698"/>
    <w:rsid w:val="00A86E36"/>
    <w:rsid w:val="00A9040D"/>
    <w:rsid w:val="00A919DB"/>
    <w:rsid w:val="00A925E5"/>
    <w:rsid w:val="00A96E54"/>
    <w:rsid w:val="00AA006D"/>
    <w:rsid w:val="00AA5C24"/>
    <w:rsid w:val="00AA767E"/>
    <w:rsid w:val="00AB285E"/>
    <w:rsid w:val="00AB5225"/>
    <w:rsid w:val="00AC4326"/>
    <w:rsid w:val="00AC4A99"/>
    <w:rsid w:val="00AC7693"/>
    <w:rsid w:val="00AC7D0D"/>
    <w:rsid w:val="00AD1316"/>
    <w:rsid w:val="00AE0D2D"/>
    <w:rsid w:val="00AE49E2"/>
    <w:rsid w:val="00AF2EC9"/>
    <w:rsid w:val="00B00263"/>
    <w:rsid w:val="00B01888"/>
    <w:rsid w:val="00B07D42"/>
    <w:rsid w:val="00B1027C"/>
    <w:rsid w:val="00B15979"/>
    <w:rsid w:val="00B16723"/>
    <w:rsid w:val="00B22641"/>
    <w:rsid w:val="00B23FA7"/>
    <w:rsid w:val="00B24E9C"/>
    <w:rsid w:val="00B32780"/>
    <w:rsid w:val="00B354EB"/>
    <w:rsid w:val="00B35BF4"/>
    <w:rsid w:val="00B40BA9"/>
    <w:rsid w:val="00B41BF2"/>
    <w:rsid w:val="00B42AD8"/>
    <w:rsid w:val="00B43382"/>
    <w:rsid w:val="00B47532"/>
    <w:rsid w:val="00B5105B"/>
    <w:rsid w:val="00B57BF0"/>
    <w:rsid w:val="00B60465"/>
    <w:rsid w:val="00B6224C"/>
    <w:rsid w:val="00B653D1"/>
    <w:rsid w:val="00B65DE4"/>
    <w:rsid w:val="00B67522"/>
    <w:rsid w:val="00B772D3"/>
    <w:rsid w:val="00B81D37"/>
    <w:rsid w:val="00B84A69"/>
    <w:rsid w:val="00B86075"/>
    <w:rsid w:val="00B87348"/>
    <w:rsid w:val="00B87718"/>
    <w:rsid w:val="00B9139B"/>
    <w:rsid w:val="00B91C10"/>
    <w:rsid w:val="00B93213"/>
    <w:rsid w:val="00BA0458"/>
    <w:rsid w:val="00BA53BA"/>
    <w:rsid w:val="00BB34C9"/>
    <w:rsid w:val="00BC2609"/>
    <w:rsid w:val="00BD1F15"/>
    <w:rsid w:val="00BD2A4E"/>
    <w:rsid w:val="00BD4841"/>
    <w:rsid w:val="00BD53EC"/>
    <w:rsid w:val="00BD5A89"/>
    <w:rsid w:val="00BD79B6"/>
    <w:rsid w:val="00BF5A3D"/>
    <w:rsid w:val="00BF6E14"/>
    <w:rsid w:val="00C001AC"/>
    <w:rsid w:val="00C029B0"/>
    <w:rsid w:val="00C048D6"/>
    <w:rsid w:val="00C10905"/>
    <w:rsid w:val="00C148F6"/>
    <w:rsid w:val="00C21357"/>
    <w:rsid w:val="00C25544"/>
    <w:rsid w:val="00C268EE"/>
    <w:rsid w:val="00C26B1F"/>
    <w:rsid w:val="00C34B92"/>
    <w:rsid w:val="00C36A91"/>
    <w:rsid w:val="00C409AB"/>
    <w:rsid w:val="00C40A2E"/>
    <w:rsid w:val="00C418B7"/>
    <w:rsid w:val="00C53F84"/>
    <w:rsid w:val="00C6584D"/>
    <w:rsid w:val="00C7523C"/>
    <w:rsid w:val="00C87974"/>
    <w:rsid w:val="00C91347"/>
    <w:rsid w:val="00CA4224"/>
    <w:rsid w:val="00CA6011"/>
    <w:rsid w:val="00CB5429"/>
    <w:rsid w:val="00CB56D8"/>
    <w:rsid w:val="00CB5A73"/>
    <w:rsid w:val="00CC0883"/>
    <w:rsid w:val="00CC1FAB"/>
    <w:rsid w:val="00CC428F"/>
    <w:rsid w:val="00CD38A0"/>
    <w:rsid w:val="00CE01B5"/>
    <w:rsid w:val="00CE0882"/>
    <w:rsid w:val="00CF00AE"/>
    <w:rsid w:val="00D01406"/>
    <w:rsid w:val="00D03809"/>
    <w:rsid w:val="00D04F8F"/>
    <w:rsid w:val="00D0728D"/>
    <w:rsid w:val="00D14CB0"/>
    <w:rsid w:val="00D155BD"/>
    <w:rsid w:val="00D160ED"/>
    <w:rsid w:val="00D24667"/>
    <w:rsid w:val="00D33298"/>
    <w:rsid w:val="00D33653"/>
    <w:rsid w:val="00D33BFB"/>
    <w:rsid w:val="00D33DBC"/>
    <w:rsid w:val="00D4083F"/>
    <w:rsid w:val="00D41C2D"/>
    <w:rsid w:val="00D505B8"/>
    <w:rsid w:val="00D50B26"/>
    <w:rsid w:val="00D612D6"/>
    <w:rsid w:val="00D70F5C"/>
    <w:rsid w:val="00D75DC7"/>
    <w:rsid w:val="00D81DE2"/>
    <w:rsid w:val="00D83E5A"/>
    <w:rsid w:val="00D87007"/>
    <w:rsid w:val="00D92676"/>
    <w:rsid w:val="00D93D33"/>
    <w:rsid w:val="00D95E34"/>
    <w:rsid w:val="00D96BD1"/>
    <w:rsid w:val="00DB2E4A"/>
    <w:rsid w:val="00DC17C3"/>
    <w:rsid w:val="00DD4060"/>
    <w:rsid w:val="00DD48B7"/>
    <w:rsid w:val="00DD6D44"/>
    <w:rsid w:val="00DD7747"/>
    <w:rsid w:val="00DD7DD6"/>
    <w:rsid w:val="00DE15B5"/>
    <w:rsid w:val="00DE39C3"/>
    <w:rsid w:val="00DE3DAA"/>
    <w:rsid w:val="00DE5CDC"/>
    <w:rsid w:val="00DF6757"/>
    <w:rsid w:val="00E067CD"/>
    <w:rsid w:val="00E122DD"/>
    <w:rsid w:val="00E14555"/>
    <w:rsid w:val="00E14C4E"/>
    <w:rsid w:val="00E2167C"/>
    <w:rsid w:val="00E2728A"/>
    <w:rsid w:val="00E3271E"/>
    <w:rsid w:val="00E4217D"/>
    <w:rsid w:val="00E42B0A"/>
    <w:rsid w:val="00E53D4C"/>
    <w:rsid w:val="00E5686D"/>
    <w:rsid w:val="00E62E73"/>
    <w:rsid w:val="00E638E2"/>
    <w:rsid w:val="00E64409"/>
    <w:rsid w:val="00E65937"/>
    <w:rsid w:val="00E66BA7"/>
    <w:rsid w:val="00E6701F"/>
    <w:rsid w:val="00E671EA"/>
    <w:rsid w:val="00E67909"/>
    <w:rsid w:val="00E70C28"/>
    <w:rsid w:val="00E74681"/>
    <w:rsid w:val="00E817EC"/>
    <w:rsid w:val="00E83F35"/>
    <w:rsid w:val="00E872AF"/>
    <w:rsid w:val="00E878EA"/>
    <w:rsid w:val="00E92C96"/>
    <w:rsid w:val="00E97713"/>
    <w:rsid w:val="00EA4CB6"/>
    <w:rsid w:val="00EA6D81"/>
    <w:rsid w:val="00EB1135"/>
    <w:rsid w:val="00EB3254"/>
    <w:rsid w:val="00EC252A"/>
    <w:rsid w:val="00EC5F8C"/>
    <w:rsid w:val="00ED1CE7"/>
    <w:rsid w:val="00ED6DE1"/>
    <w:rsid w:val="00ED6F94"/>
    <w:rsid w:val="00EE08F4"/>
    <w:rsid w:val="00EE0CEF"/>
    <w:rsid w:val="00EE37EC"/>
    <w:rsid w:val="00EE396B"/>
    <w:rsid w:val="00EF05E6"/>
    <w:rsid w:val="00EF39D1"/>
    <w:rsid w:val="00EF5D23"/>
    <w:rsid w:val="00EF61FF"/>
    <w:rsid w:val="00EF6BB1"/>
    <w:rsid w:val="00F00326"/>
    <w:rsid w:val="00F02464"/>
    <w:rsid w:val="00F14773"/>
    <w:rsid w:val="00F1478A"/>
    <w:rsid w:val="00F17B2A"/>
    <w:rsid w:val="00F27BF5"/>
    <w:rsid w:val="00F34418"/>
    <w:rsid w:val="00F3764E"/>
    <w:rsid w:val="00F41807"/>
    <w:rsid w:val="00F46E15"/>
    <w:rsid w:val="00F53863"/>
    <w:rsid w:val="00F54079"/>
    <w:rsid w:val="00F578A0"/>
    <w:rsid w:val="00F6026A"/>
    <w:rsid w:val="00F60ACE"/>
    <w:rsid w:val="00F65968"/>
    <w:rsid w:val="00F6726F"/>
    <w:rsid w:val="00F7327F"/>
    <w:rsid w:val="00F75D22"/>
    <w:rsid w:val="00F75E18"/>
    <w:rsid w:val="00F860C1"/>
    <w:rsid w:val="00F86B9E"/>
    <w:rsid w:val="00FB03F4"/>
    <w:rsid w:val="00FB4468"/>
    <w:rsid w:val="00FB693D"/>
    <w:rsid w:val="00FC1A6D"/>
    <w:rsid w:val="00FC33FF"/>
    <w:rsid w:val="00FC7B58"/>
    <w:rsid w:val="00FD4BF1"/>
    <w:rsid w:val="00FE034D"/>
    <w:rsid w:val="00FE0705"/>
    <w:rsid w:val="00FE1F60"/>
    <w:rsid w:val="00FE2C8B"/>
    <w:rsid w:val="00FE3B09"/>
    <w:rsid w:val="00FF38C1"/>
    <w:rsid w:val="00FF7898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B3E3A2C9-40CF-4D82-8AC9-C99C94AB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613ECA"/>
    <w:rPr>
      <w:i/>
      <w:iCs/>
    </w:rPr>
  </w:style>
  <w:style w:type="character" w:styleId="Strong">
    <w:name w:val="Strong"/>
    <w:basedOn w:val="DefaultParagraphFont"/>
    <w:uiPriority w:val="22"/>
    <w:qFormat/>
    <w:rsid w:val="00613E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CAB"/>
  </w:style>
  <w:style w:type="paragraph" w:styleId="Footer">
    <w:name w:val="footer"/>
    <w:basedOn w:val="Normal"/>
    <w:link w:val="FooterChar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AB"/>
  </w:style>
  <w:style w:type="character" w:customStyle="1" w:styleId="Heading2Char">
    <w:name w:val="Heading 2 Char"/>
    <w:basedOn w:val="DefaultParagraphFont"/>
    <w:link w:val="Heading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8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77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B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6B2B"/>
    <w:rPr>
      <w:vertAlign w:val="superscript"/>
    </w:rPr>
  </w:style>
  <w:style w:type="paragraph" w:styleId="Revision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4326"/>
    <w:pPr>
      <w:ind w:left="720"/>
      <w:contextualSpacing/>
    </w:p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73689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D04F8F"/>
    <w:rPr>
      <w:color w:val="605E5C"/>
      <w:shd w:val="clear" w:color="auto" w:fill="E1DFDD"/>
    </w:rPr>
  </w:style>
  <w:style w:type="paragraph" w:customStyle="1" w:styleId="pf0">
    <w:name w:val="pf0"/>
    <w:basedOn w:val="Normal"/>
    <w:rsid w:val="00E5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efaultParagraphFont"/>
    <w:rsid w:val="00E53D4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olechnowicz@corepr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48825-be6d-4cbe-988e-6d60c582e6f9" xsi:nil="true"/>
    <lcf76f155ced4ddcb4097134ff3c332f xmlns="1c5c887c-e5cf-4dba-9adb-cae334bc490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98222B8A11468422A48CB94D634E" ma:contentTypeVersion="13" ma:contentTypeDescription="Create a new document." ma:contentTypeScope="" ma:versionID="f5755f0046521456c73d0e55ace03c3d">
  <xsd:schema xmlns:xsd="http://www.w3.org/2001/XMLSchema" xmlns:xs="http://www.w3.org/2001/XMLSchema" xmlns:p="http://schemas.microsoft.com/office/2006/metadata/properties" xmlns:ns2="1c5c887c-e5cf-4dba-9adb-cae334bc4904" xmlns:ns3="d4c48825-be6d-4cbe-988e-6d60c582e6f9" targetNamespace="http://schemas.microsoft.com/office/2006/metadata/properties" ma:root="true" ma:fieldsID="cae27ac3a1d17805e5cb48fb17e4f6cd" ns2:_="" ns3:_="">
    <xsd:import namespace="1c5c887c-e5cf-4dba-9adb-cae334bc4904"/>
    <xsd:import namespace="d4c48825-be6d-4cbe-988e-6d60c582e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887c-e5cf-4dba-9adb-cae334bc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8825-be6d-4cbe-988e-6d60c582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96b45-7951-4052-a182-eabc78e69eed}" ma:internalName="TaxCatchAll" ma:showField="CatchAllData" ma:web="d4c48825-be6d-4cbe-988e-6d60c582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d4c48825-be6d-4cbe-988e-6d60c582e6f9"/>
    <ds:schemaRef ds:uri="1c5c887c-e5cf-4dba-9adb-cae334bc4904"/>
  </ds:schemaRefs>
</ds:datastoreItem>
</file>

<file path=customXml/itemProps2.xml><?xml version="1.0" encoding="utf-8"?>
<ds:datastoreItem xmlns:ds="http://schemas.openxmlformats.org/officeDocument/2006/customXml" ds:itemID="{63C70A9F-F233-4C8E-B006-60AD94CE4F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BCE34-4345-44FB-A525-C36B19C8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887c-e5cf-4dba-9adb-cae334bc4904"/>
    <ds:schemaRef ds:uri="d4c48825-be6d-4cbe-988e-6d60c582e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7658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Dejmek | CORE PR</dc:creator>
  <cp:lastModifiedBy>Marta Makarska</cp:lastModifiedBy>
  <cp:revision>2</cp:revision>
  <cp:lastPrinted>2021-08-17T13:49:00Z</cp:lastPrinted>
  <dcterms:created xsi:type="dcterms:W3CDTF">2023-09-29T08:34:00Z</dcterms:created>
  <dcterms:modified xsi:type="dcterms:W3CDTF">2023-09-29T08:34:00Z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0x010100D44B98222B8A11468422A48CB94D634E</vt:lpwstr>
  </property>
  <property fmtid="{D5CDD505-2E9C-101B-9397-08002B2CF9AE}" pid="3" name="MediaServiceImageTags">
    <vt:lpwstr/>
  </property>
</Properties>
</file>